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4346" w:type="dxa"/>
        <w:jc w:val="left"/>
        <w:tblInd w:w="55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346"/>
      </w:tblGrid>
      <w:tr>
        <w:trPr/>
        <w:tc>
          <w:tcPr>
            <w:tcW w:w="4346" w:type="dxa"/>
            <w:tcBorders/>
          </w:tcPr>
          <w:p>
            <w:pPr>
              <w:pStyle w:val="Style19"/>
              <w:widowControl w:val="false"/>
              <w:jc w:val="left"/>
              <w:rPr/>
            </w:pPr>
            <w:r>
              <w:rPr/>
              <w:t>Приложение</w:t>
            </w:r>
          </w:p>
          <w:p>
            <w:pPr>
              <w:pStyle w:val="Style19"/>
              <w:widowControl w:val="false"/>
              <w:jc w:val="left"/>
              <w:rPr/>
            </w:pPr>
            <w:r>
              <w:rPr/>
            </w:r>
          </w:p>
          <w:p>
            <w:pPr>
              <w:pStyle w:val="Style19"/>
              <w:widowControl w:val="false"/>
              <w:jc w:val="left"/>
              <w:rPr/>
            </w:pPr>
            <w:r>
              <w:rPr/>
              <w:t>УТВЕРЖДЕН</w:t>
            </w:r>
          </w:p>
          <w:p>
            <w:pPr>
              <w:pStyle w:val="Style19"/>
              <w:widowControl w:val="false"/>
              <w:jc w:val="left"/>
              <w:rPr/>
            </w:pPr>
            <w:r>
              <w:rPr/>
              <w:t>постановлением администрации муниципального образования                                                              Темрюкский район</w:t>
            </w:r>
          </w:p>
          <w:p>
            <w:pPr>
              <w:pStyle w:val="Style19"/>
              <w:widowControl w:val="false"/>
              <w:jc w:val="left"/>
              <w:rPr/>
            </w:pPr>
            <w:r>
              <w:rPr/>
              <w:t>от _______________ № _______</w:t>
            </w:r>
          </w:p>
          <w:p>
            <w:pPr>
              <w:pStyle w:val="Style19"/>
              <w:widowControl w:val="false"/>
              <w:jc w:val="left"/>
              <w:rPr/>
            </w:pPr>
            <w:r>
              <w:rPr/>
            </w:r>
          </w:p>
          <w:p>
            <w:pPr>
              <w:pStyle w:val="Style19"/>
              <w:widowControl w:val="false"/>
              <w:jc w:val="left"/>
              <w:rPr/>
            </w:pPr>
            <w:r>
              <w:rPr/>
            </w:r>
          </w:p>
        </w:tc>
      </w:tr>
    </w:tbl>
    <w:p>
      <w:pPr>
        <w:pStyle w:val="Normal"/>
        <w:jc w:val="center"/>
        <w:rPr>
          <w:sz w:val="28"/>
          <w:szCs w:val="20"/>
        </w:rPr>
      </w:pPr>
      <w:r>
        <w:rPr>
          <w:b/>
          <w:sz w:val="28"/>
          <w:szCs w:val="28"/>
        </w:rPr>
        <w:t>ПРЕЙСКУРАНТ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 на платные услуги муниципального бюджетного учреждения </w:t>
      </w:r>
      <w:r>
        <w:rPr>
          <w:b/>
          <w:sz w:val="28"/>
          <w:szCs w:val="28"/>
        </w:rPr>
        <w:t>дополнительного образования спортивная школа «Виктория»</w:t>
      </w:r>
      <w:r>
        <w:rPr>
          <w:b/>
          <w:sz w:val="28"/>
          <w:szCs w:val="28"/>
        </w:rPr>
        <w:t xml:space="preserve"> муниципального образования Темрюкский район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Style w:val="a3"/>
        <w:tblW w:w="9690" w:type="dxa"/>
        <w:jc w:val="left"/>
        <w:tblInd w:w="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95"/>
        <w:gridCol w:w="3405"/>
        <w:gridCol w:w="1140"/>
        <w:gridCol w:w="1050"/>
        <w:gridCol w:w="3300"/>
      </w:tblGrid>
      <w:tr>
        <w:trPr/>
        <w:tc>
          <w:tcPr>
            <w:tcW w:w="795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 xml:space="preserve">№ </w:t>
            </w:r>
            <w:r>
              <w:rPr>
                <w:kern w:val="0"/>
                <w:lang w:val="ru-RU" w:bidi="ar-SA"/>
              </w:rPr>
              <w:t>п/п</w:t>
            </w:r>
          </w:p>
        </w:tc>
        <w:tc>
          <w:tcPr>
            <w:tcW w:w="3405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Наименование платной услуги</w:t>
            </w:r>
          </w:p>
        </w:tc>
        <w:tc>
          <w:tcPr>
            <w:tcW w:w="219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Стоимость услуги, руб.</w:t>
            </w:r>
          </w:p>
        </w:tc>
        <w:tc>
          <w:tcPr>
            <w:tcW w:w="3300" w:type="dxa"/>
            <w:vMerge w:val="restart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Примечание</w:t>
            </w:r>
          </w:p>
        </w:tc>
      </w:tr>
      <w:tr>
        <w:trPr/>
        <w:tc>
          <w:tcPr>
            <w:tcW w:w="79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highlight w:val="yellow"/>
              </w:rPr>
            </w:pPr>
            <w:r>
              <w:rPr>
                <w:kern w:val="0"/>
                <w:highlight w:val="yellow"/>
                <w:lang w:val="ru-RU" w:bidi="ar-SA"/>
              </w:rPr>
            </w:r>
          </w:p>
        </w:tc>
        <w:tc>
          <w:tcPr>
            <w:tcW w:w="340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highlight w:val="yellow"/>
              </w:rPr>
            </w:pPr>
            <w:r>
              <w:rPr>
                <w:kern w:val="0"/>
                <w:highlight w:val="yellow"/>
                <w:lang w:val="ru-RU" w:bidi="ar-SA"/>
              </w:rPr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Лица, старше 18 лет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Дети до 18 лет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3300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highlight w:val="yellow"/>
              </w:rPr>
            </w:pPr>
            <w:r>
              <w:rPr>
                <w:kern w:val="0"/>
                <w:highlight w:val="yellow"/>
                <w:lang w:val="ru-RU" w:bidi="ar-SA"/>
              </w:rPr>
            </w:r>
          </w:p>
        </w:tc>
      </w:tr>
      <w:tr>
        <w:trPr/>
        <w:tc>
          <w:tcPr>
            <w:tcW w:w="9690" w:type="dxa"/>
            <w:gridSpan w:val="5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</w:rPr>
            </w:pPr>
            <w:r>
              <w:rPr>
                <w:b/>
                <w:kern w:val="0"/>
                <w:lang w:val="ru-RU" w:bidi="ar-SA"/>
              </w:rPr>
              <w:t>Предоставление спортивного зала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b/>
                <w:kern w:val="0"/>
                <w:lang w:val="ru-RU" w:bidi="ar-SA"/>
              </w:rPr>
              <w:t>(</w:t>
            </w:r>
            <w:r>
              <w:rPr>
                <w:kern w:val="0"/>
                <w:lang w:val="ru-RU" w:bidi="ar-SA"/>
              </w:rPr>
              <w:t>включен во Всероссийский реестр спортивных объектов России)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ind w:hanging="17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Предоставление спортивного зала, площадка (1 чел. - 1 час)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100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50</w:t>
            </w:r>
          </w:p>
        </w:tc>
        <w:tc>
          <w:tcPr>
            <w:tcW w:w="330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Спортивный зал предоставляется для проведения тренировочных сборов (ТС), учебно-тренировочных сборов (УТС) и иных тренировочных мероприятий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Предоставление спортивного зала для команды (игровые виды спорта) (на 1 час)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1000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500</w:t>
            </w:r>
          </w:p>
        </w:tc>
        <w:tc>
          <w:tcPr>
            <w:tcW w:w="330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Спортивный зал предоставляется для проведения тренировочных занятий (ТЗ), учебно-тренировочных занятий (УТЗ) и иных тренировочных мероприятий по игровым видам спорта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3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Предоставление спортивного зала для проведения спортивных мероприятий (за 1 час) не более 1600 кв.м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3000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1500</w:t>
            </w:r>
          </w:p>
        </w:tc>
        <w:tc>
          <w:tcPr>
            <w:tcW w:w="330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Спортивный зал предоставляется для проведения спортивных мероприятий (турниров, первенств, чемпионатов, аттестаций и иных мероприятий).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lang w:val="en-US"/>
              </w:rPr>
            </w:pPr>
            <w:r>
              <w:rPr>
                <w:kern w:val="0"/>
                <w:lang w:val="en-US" w:bidi="ar-SA"/>
              </w:rPr>
              <w:t>4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ind w:hanging="14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Предоставление спортивного зала (более 1600 кв.м) для проведения спортивно-массовых и иных мероприятий с использованием всех спортивных площадок и необходимого спортивного и иного оборудования (за 1 час)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10000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5000</w:t>
            </w:r>
          </w:p>
        </w:tc>
        <w:tc>
          <w:tcPr>
            <w:tcW w:w="330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Спортивный зал предоставляется для проведения соревнований и иных массовых мероприятий различного уровня (турниры, фестивали, спартакиады, конкурсы, аттестация, конференции, форумы и т.д.) с отменой основных занятий при необходимости.</w:t>
            </w:r>
          </w:p>
        </w:tc>
      </w:tr>
      <w:tr>
        <w:trPr/>
        <w:tc>
          <w:tcPr>
            <w:tcW w:w="9690" w:type="dxa"/>
            <w:gridSpan w:val="5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highlight w:val="yellow"/>
              </w:rPr>
            </w:pPr>
            <w:r>
              <w:rPr>
                <w:b/>
                <w:kern w:val="0"/>
                <w:lang w:val="ru-RU" w:bidi="ar-SA"/>
              </w:rPr>
              <w:t>Предоставление тренажерного зала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5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Предоставление тренажерного зала (разовое) – 1 занятие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150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75</w:t>
            </w:r>
          </w:p>
        </w:tc>
        <w:tc>
          <w:tcPr>
            <w:tcW w:w="330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 занятие 1 человек (без ограничения времени)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lang w:val="en-US"/>
              </w:rPr>
            </w:pPr>
            <w:r>
              <w:rPr>
                <w:kern w:val="0"/>
                <w:lang w:val="en-US" w:bidi="ar-SA"/>
              </w:rPr>
              <w:t>6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Посещение тренажерного зала АБОНЕМЕНТ на 5 занятий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650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275</w:t>
            </w:r>
          </w:p>
        </w:tc>
        <w:tc>
          <w:tcPr>
            <w:tcW w:w="330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(действие абонемента на 1 месяц) начало действия абонемента с даты первого занятия.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lang w:val="en-US"/>
              </w:rPr>
            </w:pPr>
            <w:r>
              <w:rPr>
                <w:kern w:val="0"/>
                <w:lang w:val="en-US" w:bidi="ar-SA"/>
              </w:rPr>
              <w:t>7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Посещение тренажерного зала АБОНЕМЕНТ на 10 занятий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1150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575</w:t>
            </w:r>
          </w:p>
        </w:tc>
        <w:tc>
          <w:tcPr>
            <w:tcW w:w="330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(действует 1 месяц) начало действия абонемента с даты первого занятия.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lang w:val="en-US"/>
              </w:rPr>
            </w:pPr>
            <w:r>
              <w:rPr>
                <w:kern w:val="0"/>
                <w:lang w:val="en-US" w:bidi="ar-SA"/>
              </w:rPr>
              <w:t>8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Посещение тренажерного зала АБОНЕМЕНТ – БЕЗ ЛИМИТ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2000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1000</w:t>
            </w:r>
          </w:p>
        </w:tc>
        <w:tc>
          <w:tcPr>
            <w:tcW w:w="330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(на 1 человека – действует 2 месяца) начало действия абонемента с даты первого занятия</w:t>
            </w:r>
          </w:p>
        </w:tc>
      </w:tr>
      <w:tr>
        <w:trPr/>
        <w:tc>
          <w:tcPr>
            <w:tcW w:w="9690" w:type="dxa"/>
            <w:gridSpan w:val="5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</w:rPr>
            </w:pPr>
            <w:r>
              <w:rPr>
                <w:b/>
                <w:kern w:val="0"/>
                <w:lang w:val="ru-RU" w:bidi="ar-SA"/>
              </w:rPr>
              <w:t>Предоставление водно-спортивной гребной базы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9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Предоставление водно-спортивной гребной базы,              1 чел./день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highlight w:val="yellow"/>
              </w:rPr>
            </w:pPr>
            <w:r>
              <w:rPr>
                <w:kern w:val="0"/>
                <w:lang w:val="ru-RU" w:bidi="ar-SA"/>
              </w:rPr>
              <w:t>400</w:t>
            </w:r>
          </w:p>
        </w:tc>
        <w:tc>
          <w:tcPr>
            <w:tcW w:w="105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</w:t>
            </w:r>
          </w:p>
        </w:tc>
        <w:tc>
          <w:tcPr>
            <w:tcW w:w="3300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Для проведения тренировочных сборов (ТС), учебно-тренировочных сборов (УТС), спортивно-оздоровительных и иных тренировочных мероприятий по водным видам спорта</w:t>
            </w:r>
          </w:p>
        </w:tc>
      </w:tr>
      <w:tr>
        <w:trPr/>
        <w:tc>
          <w:tcPr>
            <w:tcW w:w="9690" w:type="dxa"/>
            <w:gridSpan w:val="5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highlight w:val="yellow"/>
              </w:rPr>
            </w:pPr>
            <w:r>
              <w:rPr>
                <w:b/>
                <w:kern w:val="0"/>
                <w:lang w:val="ru-RU" w:bidi="ar-SA"/>
              </w:rPr>
              <w:t>Прочие услуги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highlight w:val="yellow"/>
              </w:rPr>
            </w:pPr>
            <w:r>
              <w:rPr>
                <w:kern w:val="0"/>
                <w:highlight w:val="yellow"/>
                <w:lang w:val="ru-RU" w:bidi="ar-SA"/>
              </w:rPr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</w:rPr>
            </w:pPr>
            <w:r>
              <w:rPr>
                <w:b/>
                <w:kern w:val="0"/>
                <w:lang w:val="ru-RU" w:bidi="ar-SA"/>
              </w:rPr>
              <w:t>Наименование услуги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</w:rPr>
            </w:pPr>
            <w:r>
              <w:rPr>
                <w:b/>
                <w:kern w:val="0"/>
                <w:lang w:val="ru-RU" w:bidi="ar-SA"/>
              </w:rPr>
              <w:t>Стоимость услуги, руб.</w:t>
            </w:r>
          </w:p>
        </w:tc>
        <w:tc>
          <w:tcPr>
            <w:tcW w:w="43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</w:rPr>
            </w:pPr>
            <w:r>
              <w:rPr>
                <w:b/>
                <w:kern w:val="0"/>
                <w:lang w:val="ru-RU" w:bidi="ar-SA"/>
              </w:rPr>
              <w:t>Примечание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10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Обеспечение соревнований медперсоналом (медсестра)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170</w:t>
            </w:r>
          </w:p>
        </w:tc>
        <w:tc>
          <w:tcPr>
            <w:tcW w:w="43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 час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11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Обеспечение соревнований судьями по игровым видам спорта (1 чел.)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250</w:t>
            </w:r>
          </w:p>
        </w:tc>
        <w:tc>
          <w:tcPr>
            <w:tcW w:w="43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 час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12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Сауна до 5 человек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600</w:t>
            </w:r>
          </w:p>
        </w:tc>
        <w:tc>
          <w:tcPr>
            <w:tcW w:w="43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 час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13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Сауна более 5 человек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800</w:t>
            </w:r>
          </w:p>
        </w:tc>
        <w:tc>
          <w:tcPr>
            <w:tcW w:w="43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 час</w:t>
            </w:r>
          </w:p>
        </w:tc>
      </w:tr>
      <w:tr>
        <w:trPr/>
        <w:tc>
          <w:tcPr>
            <w:tcW w:w="9690" w:type="dxa"/>
            <w:gridSpan w:val="5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</w:rPr>
            </w:pPr>
            <w:r>
              <w:rPr>
                <w:b/>
                <w:kern w:val="0"/>
                <w:lang w:val="ru-RU" w:bidi="ar-SA"/>
              </w:rPr>
              <w:t>Услуги проката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14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Гимнастический ковер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350</w:t>
            </w:r>
          </w:p>
        </w:tc>
        <w:tc>
          <w:tcPr>
            <w:tcW w:w="43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Тренировка не более 3-х часов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15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Боксерский ринг (использование) в спортивном комплексе учреждения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1500</w:t>
            </w:r>
          </w:p>
        </w:tc>
        <w:tc>
          <w:tcPr>
            <w:tcW w:w="43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День соревнований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16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Боксерский ринг (использование) с выносом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5000</w:t>
            </w:r>
          </w:p>
        </w:tc>
        <w:tc>
          <w:tcPr>
            <w:tcW w:w="43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День соревнований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17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Татами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300</w:t>
            </w:r>
          </w:p>
        </w:tc>
        <w:tc>
          <w:tcPr>
            <w:tcW w:w="43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Тренировка не более 2-х часов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18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Татами (соревнования)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1000</w:t>
            </w:r>
          </w:p>
        </w:tc>
        <w:tc>
          <w:tcPr>
            <w:tcW w:w="43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День соревнований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19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Теннисный стол + 2 ракетки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200</w:t>
            </w:r>
          </w:p>
        </w:tc>
        <w:tc>
          <w:tcPr>
            <w:tcW w:w="43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 час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20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Лодки (для академической гребли) 4х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500</w:t>
            </w:r>
          </w:p>
        </w:tc>
        <w:tc>
          <w:tcPr>
            <w:tcW w:w="43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Тренировка (не более 2-х часов)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21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Лодки (для академической гребли) 1х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400</w:t>
            </w:r>
          </w:p>
        </w:tc>
        <w:tc>
          <w:tcPr>
            <w:tcW w:w="43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Тренировка (не более 2-х часов)</w:t>
            </w:r>
          </w:p>
        </w:tc>
      </w:tr>
      <w:tr>
        <w:trPr/>
        <w:tc>
          <w:tcPr>
            <w:tcW w:w="795" w:type="dxa"/>
            <w:tcBorders/>
          </w:tcPr>
          <w:p>
            <w:pPr>
              <w:pStyle w:val="Normal"/>
              <w:widowControl/>
              <w:spacing w:before="0" w:after="0"/>
              <w:ind w:left="142"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22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Катер с мотором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1000</w:t>
            </w:r>
          </w:p>
        </w:tc>
        <w:tc>
          <w:tcPr>
            <w:tcW w:w="4350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 день (не более 4 часов эксплуатации)</w:t>
            </w:r>
          </w:p>
        </w:tc>
      </w:tr>
      <w:tr>
        <w:trPr/>
        <w:tc>
          <w:tcPr>
            <w:tcW w:w="9690" w:type="dxa"/>
            <w:gridSpan w:val="5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</w:r>
          </w:p>
          <w:p>
            <w:pPr>
              <w:pStyle w:val="ListParagraph"/>
              <w:widowControl/>
              <w:numPr>
                <w:ilvl w:val="0"/>
                <w:numId w:val="0"/>
              </w:numPr>
              <w:spacing w:before="0" w:after="0"/>
              <w:ind w:hanging="0"/>
              <w:contextualSpacing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 xml:space="preserve">1. </w:t>
            </w:r>
            <w:r>
              <w:rPr>
                <w:kern w:val="0"/>
                <w:lang w:val="ru-RU" w:bidi="ar-SA"/>
              </w:rPr>
              <w:t>Детям из многодетных и малообеспеченных семей, детям-сиротам и детям, оставшимся без попечительства родителей, детям-инвалидам – услуги предоставляются безвозмездно.</w:t>
            </w:r>
          </w:p>
          <w:p>
            <w:pPr>
              <w:pStyle w:val="ListParagraph"/>
              <w:widowControl/>
              <w:numPr>
                <w:ilvl w:val="0"/>
                <w:numId w:val="0"/>
              </w:numPr>
              <w:spacing w:before="0" w:after="0"/>
              <w:ind w:hanging="0"/>
              <w:contextualSpacing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 xml:space="preserve">2. </w:t>
            </w:r>
            <w:r>
              <w:rPr>
                <w:kern w:val="0"/>
                <w:lang w:val="ru-RU" w:bidi="ar-SA"/>
              </w:rPr>
              <w:t>Индивидуальные занятия дети с 6 до 13 лет посещают зал, тренажерный зал только в сопровождении родителей, тренера или инструктора.</w:t>
            </w:r>
          </w:p>
          <w:p>
            <w:pPr>
              <w:pStyle w:val="ListParagraph"/>
              <w:widowControl/>
              <w:numPr>
                <w:ilvl w:val="0"/>
                <w:numId w:val="0"/>
              </w:numPr>
              <w:spacing w:before="0" w:after="0"/>
              <w:ind w:hanging="0"/>
              <w:contextualSpacing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 xml:space="preserve">3. </w:t>
            </w:r>
            <w:r>
              <w:rPr>
                <w:kern w:val="0"/>
                <w:lang w:val="ru-RU" w:bidi="ar-SA"/>
              </w:rPr>
              <w:t>Льготные посещения по услугам в размере 50% предоставляются детям до 18 лет (по номерам с 1-8 согласно прейскуранту.</w:t>
            </w:r>
          </w:p>
          <w:p>
            <w:pPr>
              <w:pStyle w:val="ListParagraph"/>
              <w:widowControl/>
              <w:numPr>
                <w:ilvl w:val="0"/>
                <w:numId w:val="0"/>
              </w:numPr>
              <w:spacing w:before="0" w:after="0"/>
              <w:ind w:hanging="0"/>
              <w:contextualSpacing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 xml:space="preserve">4. </w:t>
            </w:r>
            <w:r>
              <w:rPr>
                <w:kern w:val="0"/>
                <w:lang w:val="ru-RU" w:bidi="ar-SA"/>
              </w:rPr>
              <w:t>Льготные посещения оформляются договором безвозмездного пользования только при предоставлении подтверждающих документов.</w:t>
            </w:r>
          </w:p>
          <w:p>
            <w:pPr>
              <w:pStyle w:val="ListParagraph"/>
              <w:widowControl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</w:r>
          </w:p>
        </w:tc>
      </w:tr>
    </w:tbl>
    <w:p>
      <w:pPr>
        <w:pStyle w:val="Normal"/>
        <w:jc w:val="center"/>
        <w:rPr>
          <w:sz w:val="28"/>
          <w:szCs w:val="28"/>
        </w:rPr>
      </w:pPr>
      <w:r>
        <w:rPr/>
      </w:r>
    </w:p>
    <w:p>
      <w:pPr>
        <w:pStyle w:val="Normal"/>
        <w:numPr>
          <w:ilvl w:val="0"/>
          <w:numId w:val="0"/>
        </w:numPr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outlineLvl w:val="0"/>
        <w:rPr>
          <w:sz w:val="28"/>
          <w:szCs w:val="28"/>
        </w:rPr>
      </w:pPr>
      <w:r>
        <w:rPr>
          <w:sz w:val="28"/>
          <w:szCs w:val="28"/>
        </w:rPr>
        <w:t>З</w:t>
      </w:r>
      <w:r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 главы </w:t>
      </w:r>
    </w:p>
    <w:p>
      <w:pPr>
        <w:pStyle w:val="Normal"/>
        <w:numPr>
          <w:ilvl w:val="0"/>
          <w:numId w:val="0"/>
        </w:num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>
      <w:pPr>
        <w:pStyle w:val="Normal"/>
        <w:numPr>
          <w:ilvl w:val="0"/>
          <w:numId w:val="0"/>
        </w:numPr>
        <w:outlineLvl w:val="0"/>
        <w:rPr/>
      </w:pPr>
      <w:r>
        <w:rPr>
          <w:sz w:val="28"/>
          <w:szCs w:val="28"/>
        </w:rPr>
        <w:t xml:space="preserve">Темрюкский район                                                                                   </w:t>
      </w:r>
      <w:r>
        <w:rPr>
          <w:sz w:val="28"/>
          <w:szCs w:val="28"/>
        </w:rPr>
        <w:t>И.И. Костюк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09" w:top="1134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4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4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4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6.05pt;height:13.8pt;mso-wrap-distance-left:0pt;mso-wrap-distance-right:0pt;mso-wrap-distance-top:0pt;mso-wrap-distance-bottom:0pt;margin-top:0.05pt;mso-position-vertical-relative:text;margin-left:237.9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4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/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51bad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qFormat/>
    <w:rsid w:val="00951ba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951bad"/>
    <w:rPr/>
  </w:style>
  <w:style w:type="character" w:styleId="Style15" w:customStyle="1">
    <w:name w:val="Текст выноски Знак"/>
    <w:basedOn w:val="DefaultParagraphFont"/>
    <w:link w:val="BalloonText"/>
    <w:semiHidden/>
    <w:qFormat/>
    <w:rsid w:val="00951bad"/>
    <w:rPr>
      <w:rFonts w:ascii="Tahoma" w:hAnsi="Tahoma" w:eastAsia="Times New Roman" w:cs="Tahoma"/>
      <w:sz w:val="16"/>
      <w:szCs w:val="16"/>
      <w:lang w:eastAsia="ru-RU"/>
    </w:rPr>
  </w:style>
  <w:style w:type="character" w:styleId="Style16" w:customStyle="1">
    <w:name w:val="Основной текст Знак"/>
    <w:basedOn w:val="DefaultParagraphFont"/>
    <w:qFormat/>
    <w:rsid w:val="00951bad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7" w:customStyle="1">
    <w:name w:val="Основной текст с отступом Знак"/>
    <w:basedOn w:val="DefaultParagraphFont"/>
    <w:qFormat/>
    <w:rsid w:val="003e289d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link w:val="Style16"/>
    <w:rsid w:val="00951bad"/>
    <w:pPr>
      <w:jc w:val="center"/>
    </w:pPr>
    <w:rPr>
      <w:sz w:val="28"/>
      <w:szCs w:val="20"/>
    </w:rPr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4"/>
    <w:rsid w:val="00951ba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5"/>
    <w:semiHidden/>
    <w:qFormat/>
    <w:rsid w:val="00951bad"/>
    <w:pPr/>
    <w:rPr>
      <w:rFonts w:ascii="Tahoma" w:hAnsi="Tahoma" w:cs="Tahoma"/>
      <w:sz w:val="16"/>
      <w:szCs w:val="16"/>
    </w:rPr>
  </w:style>
  <w:style w:type="paragraph" w:styleId="Style25">
    <w:name w:val="Body Text Indent"/>
    <w:basedOn w:val="Normal"/>
    <w:link w:val="Style17"/>
    <w:rsid w:val="003e289d"/>
    <w:pPr>
      <w:ind w:firstLine="720"/>
      <w:jc w:val="both"/>
    </w:pPr>
    <w:rPr>
      <w:sz w:val="28"/>
    </w:rPr>
  </w:style>
  <w:style w:type="paragraph" w:styleId="Style26">
    <w:name w:val="Содержимое врезки"/>
    <w:basedOn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951bad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9B020-F11C-4061-9EAB-E56A58C11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Application>LibreOffice/7.5.1.2$Windows_X86_64 LibreOffice_project/fcbaee479e84c6cd81291587d2ee68cba099e129</Application>
  <AppVersion>15.0000</AppVersion>
  <Pages>3</Pages>
  <Words>530</Words>
  <Characters>3440</Characters>
  <CharactersWithSpaces>4006</CharactersWithSpaces>
  <Paragraphs>128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2018-08-23T06:36:00Z</dcterms:created>
  <dc:creator>Admin</dc:creator>
  <dc:description/>
  <dc:language>ru-RU</dc:language>
  <cp:lastModifiedBy/>
  <cp:lastPrinted>2023-01-17T08:23:00Z</cp:lastPrinted>
  <dcterms:modified xsi:type="dcterms:W3CDTF">2023-05-12T16:59:03Z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